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B3E2" w14:textId="77777777" w:rsidR="0036231A" w:rsidRPr="006509FB" w:rsidRDefault="0036231A" w:rsidP="0036231A">
      <w:pPr>
        <w:pStyle w:val="Ttulo1"/>
        <w:keepLines/>
        <w:spacing w:before="480" w:line="360" w:lineRule="auto"/>
        <w:ind w:left="0"/>
        <w:jc w:val="center"/>
        <w:rPr>
          <w:rFonts w:eastAsia="Arial"/>
          <w:sz w:val="24"/>
          <w:szCs w:val="24"/>
          <w:lang w:val="pt-BR"/>
        </w:rPr>
      </w:pPr>
      <w:r w:rsidRPr="006509FB">
        <w:rPr>
          <w:rFonts w:eastAsia="Arial"/>
          <w:sz w:val="24"/>
          <w:szCs w:val="24"/>
          <w:lang w:val="pt-BR"/>
        </w:rPr>
        <w:t>ESTUDO TÉCNICO PRELIMINAR</w:t>
      </w:r>
    </w:p>
    <w:p w14:paraId="2C91BBCC" w14:textId="77777777" w:rsidR="0036231A" w:rsidRPr="006509FB" w:rsidRDefault="0036231A" w:rsidP="0036231A">
      <w:pPr>
        <w:pStyle w:val="Ttulo1"/>
        <w:keepLines/>
        <w:spacing w:before="480" w:line="360" w:lineRule="auto"/>
        <w:rPr>
          <w:rFonts w:eastAsia="Arial"/>
          <w:sz w:val="24"/>
          <w:szCs w:val="24"/>
          <w:lang w:val="pt-BR"/>
        </w:rPr>
      </w:pPr>
      <w:r w:rsidRPr="006509FB">
        <w:rPr>
          <w:rFonts w:eastAsia="Arial"/>
          <w:sz w:val="24"/>
          <w:szCs w:val="24"/>
          <w:lang w:val="pt-BR"/>
        </w:rPr>
        <w:t>1. INFORMAÇÕES BÁSICAS</w:t>
      </w:r>
    </w:p>
    <w:p w14:paraId="6DDE3AA7" w14:textId="25EA4AC6" w:rsidR="0036231A" w:rsidRPr="006509FB" w:rsidRDefault="0036231A" w:rsidP="0036231A">
      <w:pPr>
        <w:spacing w:line="360" w:lineRule="auto"/>
        <w:rPr>
          <w:sz w:val="24"/>
          <w:szCs w:val="24"/>
          <w:lang w:val="pt-BR"/>
        </w:rPr>
      </w:pPr>
      <w:r w:rsidRPr="006509FB">
        <w:rPr>
          <w:sz w:val="24"/>
          <w:szCs w:val="24"/>
          <w:lang w:val="pt-BR"/>
        </w:rPr>
        <w:t xml:space="preserve">1.1. CATEGORIA DO SERVIÇO: Bens comuns </w:t>
      </w:r>
      <w:r w:rsidRPr="006509FB">
        <w:rPr>
          <w:sz w:val="24"/>
          <w:szCs w:val="24"/>
          <w:lang w:val="pt-BR"/>
        </w:rPr>
        <w:br/>
        <w:t xml:space="preserve">1.2. MODELO DE CONTRATAÇÃO: </w:t>
      </w:r>
      <w:r w:rsidR="005774A9" w:rsidRPr="005774A9">
        <w:rPr>
          <w:sz w:val="24"/>
          <w:szCs w:val="24"/>
          <w:lang w:val="pt-BR"/>
        </w:rPr>
        <w:t>Sistema de Dispensa de Licitação, conforme Art.75. inciso II.</w:t>
      </w:r>
    </w:p>
    <w:p w14:paraId="017D05B1" w14:textId="77777777" w:rsidR="0036231A" w:rsidRPr="006509FB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0" w:name="_jhg7w879g3wp"/>
      <w:bookmarkEnd w:id="0"/>
      <w:r w:rsidRPr="006509FB">
        <w:rPr>
          <w:rFonts w:eastAsia="Arial"/>
          <w:sz w:val="24"/>
          <w:szCs w:val="24"/>
          <w:lang w:val="pt-BR"/>
        </w:rPr>
        <w:t>2. DESCRIÇÃO DA NECESSIDADE</w:t>
      </w:r>
    </w:p>
    <w:p w14:paraId="0A08DF20" w14:textId="6195D875" w:rsidR="005774A9" w:rsidRDefault="005774A9" w:rsidP="005774A9">
      <w:pPr>
        <w:pStyle w:val="NormalWeb"/>
        <w:numPr>
          <w:ilvl w:val="1"/>
          <w:numId w:val="3"/>
        </w:numPr>
      </w:pPr>
      <w:r>
        <w:t>O presente estudo visa a aquisição de peças de reposição automotiva para manutenção corretiva de veículos oficiais da frota municipal, visando o restabelecimento das condições de segurança e trafegabilidade dos veículos abaixo relacionados:</w:t>
      </w:r>
      <w:r>
        <w:rPr>
          <w:b/>
          <w:bCs/>
        </w:rPr>
        <w:t xml:space="preserve"> </w:t>
      </w:r>
      <w:r>
        <w:rPr>
          <w:b/>
          <w:bCs/>
        </w:rPr>
        <w:br/>
        <w:t>Veículo VW Gol (Placa IMH9J64)</w:t>
      </w:r>
      <w:r>
        <w:br/>
      </w:r>
      <w:r>
        <w:rPr>
          <w:b/>
          <w:bCs/>
        </w:rPr>
        <w:t>02 Amortecedores Dianteiros:</w:t>
      </w:r>
      <w:r>
        <w:t xml:space="preserve"> Sistema de suspensão telescópica para absorção de impactos.</w:t>
      </w:r>
      <w:r>
        <w:br/>
      </w:r>
      <w:r w:rsidRPr="005774A9">
        <w:rPr>
          <w:b/>
          <w:bCs/>
        </w:rPr>
        <w:t>02 Kits de Coxins e Batentes (Dianteiros):</w:t>
      </w:r>
      <w:r>
        <w:t xml:space="preserve"> Composto por rolamento de peso, coifa protetora e batente de poliuretano.</w:t>
      </w:r>
      <w:r>
        <w:br/>
      </w:r>
      <w:r w:rsidRPr="005774A9">
        <w:rPr>
          <w:b/>
          <w:bCs/>
        </w:rPr>
        <w:t>02 Amortecedores Traseiros:</w:t>
      </w:r>
      <w:r>
        <w:t xml:space="preserve"> Componentes de estabilidade do eixo traseiro.</w:t>
      </w:r>
      <w:r>
        <w:br/>
      </w:r>
      <w:r>
        <w:br/>
      </w:r>
      <w:r w:rsidRPr="005774A9">
        <w:rPr>
          <w:b/>
          <w:bCs/>
        </w:rPr>
        <w:t>Veículo Renault Sandero (Placa IPG2074)</w:t>
      </w:r>
      <w:r>
        <w:br/>
      </w:r>
      <w:r w:rsidRPr="005774A9">
        <w:rPr>
          <w:b/>
          <w:bCs/>
        </w:rPr>
        <w:t>01 Caixa de Direção Hidráulica:</w:t>
      </w:r>
      <w:r>
        <w:t xml:space="preserve"> Sistema de pinhão e cremalheira com assistência hidráulica.</w:t>
      </w:r>
      <w:r>
        <w:br/>
      </w:r>
      <w:r w:rsidRPr="005774A9">
        <w:rPr>
          <w:b/>
          <w:bCs/>
        </w:rPr>
        <w:t>02 Amortecedores Dianteiros:</w:t>
      </w:r>
      <w:r>
        <w:t xml:space="preserve"> Sistema de suspensão para controle de oscilação.</w:t>
      </w:r>
      <w:r>
        <w:br/>
      </w:r>
      <w:r w:rsidRPr="005774A9">
        <w:rPr>
          <w:b/>
          <w:bCs/>
        </w:rPr>
        <w:t>02 Kits de Coxins e Batentes (Dianteiros):</w:t>
      </w:r>
      <w:r>
        <w:t xml:space="preserve"> Conjunto de fixação e proteção do conjunto de suspensão.</w:t>
      </w:r>
      <w:r>
        <w:br/>
      </w:r>
      <w:r w:rsidRPr="005774A9">
        <w:rPr>
          <w:b/>
          <w:bCs/>
        </w:rPr>
        <w:t>01 Coifa do Câmbio (Lado Esquerdo):</w:t>
      </w:r>
      <w:r>
        <w:t xml:space="preserve"> Proteção de borracha para a junta homocinética/saída de caixa.</w:t>
      </w:r>
      <w:r>
        <w:br/>
      </w:r>
      <w:r w:rsidRPr="005774A9">
        <w:rPr>
          <w:b/>
          <w:bCs/>
        </w:rPr>
        <w:t>02 Cilindros de Freio (Roda Traseira):</w:t>
      </w:r>
      <w:r>
        <w:t xml:space="preserve"> Atuadores hidráulicos do sistema de freio a tambor.</w:t>
      </w:r>
      <w:r>
        <w:br/>
      </w:r>
      <w:r w:rsidRPr="005774A9">
        <w:rPr>
          <w:b/>
          <w:bCs/>
        </w:rPr>
        <w:t>01 Homocinética (Lado Direito):</w:t>
      </w:r>
      <w:r>
        <w:t xml:space="preserve"> Junta de transmissão de torque para a roda.</w:t>
      </w:r>
      <w:r>
        <w:br/>
      </w:r>
    </w:p>
    <w:p w14:paraId="4EFFA65A" w14:textId="7E85F06B" w:rsidR="0078652F" w:rsidRDefault="005774A9" w:rsidP="0078652F">
      <w:pPr>
        <w:pStyle w:val="NormalWeb"/>
        <w:numPr>
          <w:ilvl w:val="1"/>
          <w:numId w:val="3"/>
        </w:numPr>
      </w:pPr>
      <w:r w:rsidRPr="005774A9">
        <w:t>A referida aquisição fundamenta-se no Artigo 75, Inciso II da Lei nº 14.133/2021, que autoriza a dispensa de licitação para bens e serviços de valor inferior a R$ 65.492. A escolha por esta modalidade justifica-se pela agilidade procedimental necessária para o retorno imediato dos veículos à operação, dado o baixo custo estimado frente ao teto legal.</w:t>
      </w:r>
      <w:r w:rsidR="0078652F">
        <w:t xml:space="preserve"> </w:t>
      </w:r>
      <w:r w:rsidR="0078652F">
        <w:br/>
      </w:r>
    </w:p>
    <w:p w14:paraId="3DF5F983" w14:textId="6FF75693" w:rsidR="0078652F" w:rsidRDefault="0078652F" w:rsidP="0078652F">
      <w:pPr>
        <w:pStyle w:val="NormalWeb"/>
        <w:numPr>
          <w:ilvl w:val="1"/>
          <w:numId w:val="3"/>
        </w:numPr>
      </w:pPr>
      <w:r>
        <w:t xml:space="preserve">A necessidade de aquisição imediata destas peças decorre do desgaste natural e da detecção de falhas críticas nos sistemas de suspensão, direção e frenagem dos veículos citados, os quais são essenciais para as atividades das secretarias municipais. </w:t>
      </w:r>
      <w:r>
        <w:br/>
        <w:t>Impactos do Desabastecimento e Atrasos: A paralisação destes veículos tem gerado um impacto direto e negativo na prestação de serviços públicos, destacando-se:</w:t>
      </w:r>
      <w:r>
        <w:br/>
        <w:t>Atendimento aos Agricultores: O atraso na manutenção impede o deslocamento de técnicos e equipes de apoio rural, prejudicando o suporte direto ao produtor, a entrega de insumos e a fiscalização de programas de fomento agrícola.</w:t>
      </w:r>
      <w:r>
        <w:br/>
        <w:t>Segurança dos Servidores: A circulação com amortecedores estourados, vazamento na caixa de direção ou falhas no cilindro de freio coloca em risco a integridade física dos condutores e de terceiros.</w:t>
      </w:r>
      <w:r>
        <w:br/>
        <w:t xml:space="preserve">Eficiência Administrativa: A indisponibilidade da frota causa o represamento de demandas </w:t>
      </w:r>
      <w:r>
        <w:lastRenderedPageBreak/>
        <w:t>administrativas e sociais, gerando um efeito dominó que compromete o cronograma de serviços essenciais da municipalidade.</w:t>
      </w:r>
      <w:r>
        <w:br/>
        <w:t>Dessa forma, a aquisição via dispensa de licitação é a solução que melhor atende ao interesse público, garantindo a continuidade dos serviços e a segurança operacional com a celeridade que a situação exige.</w:t>
      </w:r>
    </w:p>
    <w:p w14:paraId="7F63B2D2" w14:textId="77777777" w:rsidR="0036231A" w:rsidRPr="006509FB" w:rsidRDefault="0036231A" w:rsidP="0078652F">
      <w:pPr>
        <w:pStyle w:val="Ttulo1"/>
        <w:spacing w:before="0" w:line="360" w:lineRule="auto"/>
        <w:ind w:left="0"/>
        <w:jc w:val="both"/>
        <w:rPr>
          <w:rFonts w:eastAsia="Arial"/>
          <w:sz w:val="24"/>
          <w:szCs w:val="24"/>
          <w:lang w:val="pt-BR"/>
        </w:rPr>
      </w:pPr>
      <w:bookmarkStart w:id="1" w:name="_fj4a3kszjbq6"/>
      <w:bookmarkEnd w:id="1"/>
      <w:r w:rsidRPr="006509FB">
        <w:rPr>
          <w:rFonts w:eastAsia="Arial"/>
          <w:sz w:val="24"/>
          <w:szCs w:val="24"/>
          <w:lang w:val="pt-BR"/>
        </w:rPr>
        <w:br/>
        <w:t>3. ÁREA REQUISITANTE</w:t>
      </w:r>
    </w:p>
    <w:p w14:paraId="040583C3" w14:textId="1075A0AE" w:rsidR="0036231A" w:rsidRDefault="0036231A" w:rsidP="0036231A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>
        <w:rPr>
          <w:rFonts w:eastAsia="Arial"/>
          <w:b w:val="0"/>
          <w:sz w:val="24"/>
          <w:szCs w:val="24"/>
          <w:lang w:val="pt-BR"/>
        </w:rPr>
        <w:t>3.1 ÁREA:  Secretaria de Infraestrutura e Agropecuária</w:t>
      </w:r>
      <w:r>
        <w:rPr>
          <w:rFonts w:eastAsia="Arial"/>
          <w:b w:val="0"/>
          <w:sz w:val="24"/>
          <w:szCs w:val="24"/>
          <w:lang w:val="pt-BR"/>
        </w:rPr>
        <w:br/>
        <w:t>3.2 RESPONSÁVEL:  Heider Santos Coelho</w:t>
      </w:r>
      <w:r w:rsidRPr="006509FB">
        <w:rPr>
          <w:rFonts w:eastAsia="Arial"/>
          <w:sz w:val="24"/>
          <w:szCs w:val="24"/>
          <w:lang w:val="pt-BR"/>
        </w:rPr>
        <w:br/>
      </w:r>
      <w:r>
        <w:rPr>
          <w:rFonts w:eastAsia="Arial"/>
          <w:sz w:val="24"/>
          <w:szCs w:val="24"/>
          <w:lang w:val="pt-BR"/>
        </w:rPr>
        <w:t>4. REQUISITOS DA CONTRATAÇÃO</w:t>
      </w:r>
    </w:p>
    <w:p w14:paraId="3D0B0DDE" w14:textId="6DAFE874" w:rsidR="0036231A" w:rsidRDefault="0036231A" w:rsidP="00D579C3">
      <w:pPr>
        <w:suppressAutoHyphens/>
        <w:spacing w:before="200" w:after="240" w:line="360" w:lineRule="auto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4.1.</w:t>
      </w:r>
      <w:r>
        <w:rPr>
          <w:rFonts w:eastAsia="Arial"/>
          <w:sz w:val="24"/>
          <w:szCs w:val="24"/>
          <w:lang w:val="pt-BR" w:eastAsia="zh-CN" w:bidi="hi-IN"/>
        </w:rPr>
        <w:tab/>
        <w:t>O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objeto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deve</w:t>
      </w:r>
      <w:r w:rsidR="003B603B">
        <w:rPr>
          <w:rFonts w:eastAsia="Arial"/>
          <w:sz w:val="24"/>
          <w:szCs w:val="24"/>
          <w:lang w:val="pt-BR" w:eastAsia="zh-CN" w:bidi="hi-IN"/>
        </w:rPr>
        <w:t>m</w:t>
      </w:r>
      <w:r>
        <w:rPr>
          <w:rFonts w:eastAsia="Arial"/>
          <w:sz w:val="24"/>
          <w:szCs w:val="24"/>
          <w:lang w:val="pt-BR" w:eastAsia="zh-CN" w:bidi="hi-IN"/>
        </w:rPr>
        <w:t xml:space="preserve"> ser entregue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com as mesmas especificações constantes no termo de referência e seus anexos</w:t>
      </w:r>
      <w:r w:rsidR="00D579C3">
        <w:rPr>
          <w:rFonts w:eastAsia="Arial"/>
          <w:sz w:val="24"/>
          <w:szCs w:val="24"/>
          <w:lang w:val="pt-BR" w:eastAsia="zh-CN" w:bidi="hi-IN"/>
        </w:rPr>
        <w:t>.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4.2.</w:t>
      </w:r>
      <w:r>
        <w:rPr>
          <w:rFonts w:eastAsia="Arial"/>
          <w:sz w:val="24"/>
          <w:szCs w:val="24"/>
          <w:lang w:val="pt-BR" w:eastAsia="zh-CN" w:bidi="hi-IN"/>
        </w:rPr>
        <w:tab/>
        <w:t>São de responsabilidade da</w:t>
      </w:r>
      <w:r w:rsidR="00F4662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empresa</w:t>
      </w:r>
      <w:r w:rsidR="00F4662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todos os impostos, taxas, licenças e registros dos órgãos públicos municipais, estaduais e federais, que se fizerem necessários, bem como as despesas com frete, e recursos humanos (quando for o caso).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4.3.</w:t>
      </w:r>
      <w:r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a)</w:t>
      </w:r>
      <w:r>
        <w:rPr>
          <w:rFonts w:eastAsia="Arial"/>
          <w:sz w:val="24"/>
          <w:szCs w:val="24"/>
          <w:lang w:val="pt-BR" w:eastAsia="zh-CN" w:bidi="hi-IN"/>
        </w:rPr>
        <w:tab/>
        <w:t>Itens de segurança, uniforme e utilização de EPI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b)</w:t>
      </w:r>
      <w:r>
        <w:rPr>
          <w:rFonts w:eastAsia="Arial"/>
          <w:sz w:val="24"/>
          <w:szCs w:val="24"/>
          <w:lang w:val="pt-BR" w:eastAsia="zh-CN" w:bidi="hi-IN"/>
        </w:rPr>
        <w:tab/>
        <w:t>Critérios de Sustentabilidade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c)</w:t>
      </w:r>
      <w:r>
        <w:rPr>
          <w:rFonts w:eastAsia="Arial"/>
          <w:sz w:val="24"/>
          <w:szCs w:val="24"/>
          <w:lang w:val="pt-BR" w:eastAsia="zh-CN" w:bidi="hi-IN"/>
        </w:rPr>
        <w:tab/>
        <w:t>Critérios de Qualidade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4.4.</w:t>
      </w:r>
      <w:r>
        <w:rPr>
          <w:rFonts w:eastAsia="Arial"/>
          <w:sz w:val="24"/>
          <w:szCs w:val="24"/>
          <w:lang w:val="pt-BR" w:eastAsia="zh-CN" w:bidi="hi-IN"/>
        </w:rPr>
        <w:tab/>
        <w:t>O descritivo dos materiais estará disposto no Anexo Dados do Objeto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4.5.</w:t>
      </w:r>
      <w:r>
        <w:rPr>
          <w:rFonts w:eastAsia="Arial"/>
          <w:sz w:val="24"/>
          <w:szCs w:val="24"/>
          <w:lang w:val="pt-BR" w:eastAsia="zh-CN" w:bidi="hi-IN"/>
        </w:rPr>
        <w:tab/>
        <w:t>A entrega do</w:t>
      </w:r>
      <w:r w:rsidR="00900C63">
        <w:rPr>
          <w:rFonts w:eastAsia="Arial"/>
          <w:sz w:val="24"/>
          <w:szCs w:val="24"/>
          <w:lang w:val="pt-BR" w:eastAsia="zh-CN" w:bidi="hi-IN"/>
        </w:rPr>
        <w:t>(o)</w:t>
      </w:r>
      <w:r>
        <w:rPr>
          <w:rFonts w:eastAsia="Arial"/>
          <w:sz w:val="24"/>
          <w:szCs w:val="24"/>
          <w:lang w:val="pt-BR" w:eastAsia="zh-CN" w:bidi="hi-IN"/>
        </w:rPr>
        <w:t xml:space="preserve"> objeto</w:t>
      </w:r>
      <w:r w:rsidR="00900C63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seguirá a seguinte dinâmica: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>a) Início da entrega do objeto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: </w:t>
      </w:r>
      <w:r w:rsidR="00A96A3B">
        <w:rPr>
          <w:rFonts w:eastAsia="Arial"/>
          <w:sz w:val="24"/>
          <w:szCs w:val="24"/>
          <w:lang w:val="pt-BR" w:eastAsia="zh-CN" w:bidi="hi-IN"/>
        </w:rPr>
        <w:t>A</w:t>
      </w:r>
      <w:r>
        <w:rPr>
          <w:rFonts w:eastAsia="Arial"/>
          <w:sz w:val="24"/>
          <w:szCs w:val="24"/>
          <w:lang w:val="pt-BR" w:eastAsia="zh-CN" w:bidi="hi-IN"/>
        </w:rPr>
        <w:t xml:space="preserve"> partir da emissão e envio da nota de empenho pela secretaria solicitante;</w:t>
      </w:r>
      <w:r w:rsidR="00D579C3">
        <w:rPr>
          <w:rFonts w:eastAsia="Arial"/>
          <w:sz w:val="24"/>
          <w:szCs w:val="24"/>
          <w:lang w:val="pt-BR" w:eastAsia="zh-CN" w:bidi="hi-IN"/>
        </w:rPr>
        <w:br/>
      </w:r>
      <w:r>
        <w:rPr>
          <w:rFonts w:eastAsia="Arial"/>
          <w:sz w:val="24"/>
          <w:szCs w:val="24"/>
          <w:lang w:val="pt-BR" w:eastAsia="zh-CN" w:bidi="hi-IN"/>
        </w:rPr>
        <w:t xml:space="preserve">b) Local e horário da entrega do objeto: Almoxarifado </w:t>
      </w:r>
      <w:r>
        <w:rPr>
          <w:sz w:val="24"/>
          <w:szCs w:val="24"/>
        </w:rPr>
        <w:t xml:space="preserve">da Prefeitura Municipal, </w:t>
      </w:r>
      <w:r w:rsidR="00A96A3B">
        <w:rPr>
          <w:sz w:val="24"/>
          <w:szCs w:val="24"/>
        </w:rPr>
        <w:t>Praça</w:t>
      </w:r>
      <w:r>
        <w:rPr>
          <w:sz w:val="24"/>
          <w:szCs w:val="24"/>
        </w:rPr>
        <w:t xml:space="preserve"> quatro de maio, número 16, Centro, Amaral Ferrador, das 08 horas às 12 horas e das 13h30min às 17:30 horas.</w:t>
      </w:r>
    </w:p>
    <w:p w14:paraId="6C1FCA86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4.6.</w:t>
      </w:r>
      <w:r>
        <w:rPr>
          <w:rFonts w:eastAsia="Arial"/>
          <w:sz w:val="24"/>
          <w:szCs w:val="24"/>
          <w:lang w:val="pt-BR" w:eastAsia="zh-CN" w:bidi="hi-IN"/>
        </w:rPr>
        <w:tab/>
      </w:r>
      <w:r>
        <w:rPr>
          <w:rFonts w:eastAsia="Arial"/>
          <w:bCs/>
          <w:sz w:val="24"/>
          <w:szCs w:val="24"/>
          <w:lang w:val="pt-BR" w:eastAsia="zh-CN" w:bidi="hi-IN"/>
        </w:rPr>
        <w:t>Prazo de garantia dos produtos: será exigida garantia para os itens licitados disposta no Código de Defesa do Consumidor (CDC).</w:t>
      </w:r>
    </w:p>
    <w:p w14:paraId="1AA95E75" w14:textId="059006D9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4.7.</w:t>
      </w:r>
      <w:r>
        <w:rPr>
          <w:rFonts w:eastAsia="Arial"/>
          <w:sz w:val="24"/>
          <w:szCs w:val="24"/>
          <w:lang w:val="pt-BR" w:eastAsia="zh-CN" w:bidi="hi-IN"/>
        </w:rPr>
        <w:tab/>
        <w:t>O fornecedor deverá manter a integridade e qualidade do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produto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durante a entrega do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>.</w:t>
      </w:r>
    </w:p>
    <w:p w14:paraId="6E997802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4.8.</w:t>
      </w:r>
      <w:r>
        <w:rPr>
          <w:rFonts w:eastAsia="Arial"/>
          <w:sz w:val="24"/>
          <w:szCs w:val="24"/>
          <w:lang w:val="pt-BR" w:eastAsia="zh-CN" w:bidi="hi-IN"/>
        </w:rPr>
        <w:tab/>
      </w:r>
      <w:r w:rsidRPr="005B44CB">
        <w:rPr>
          <w:rFonts w:eastAsia="Arial"/>
          <w:sz w:val="24"/>
          <w:szCs w:val="24"/>
          <w:lang w:val="pt-BR" w:eastAsia="zh-CN" w:bidi="hi-IN"/>
        </w:rPr>
        <w:t>Por se tratar de uma dispensa de licitação, o prazo de vigência do instrumento contratual será de 30 dias.</w:t>
      </w:r>
    </w:p>
    <w:p w14:paraId="109DC5D6" w14:textId="77777777" w:rsidR="0036231A" w:rsidRDefault="0036231A" w:rsidP="0036231A">
      <w:pPr>
        <w:suppressAutoHyphens/>
        <w:spacing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lastRenderedPageBreak/>
        <w:t>4.10.</w:t>
      </w:r>
      <w:r>
        <w:rPr>
          <w:rFonts w:eastAsia="Arial"/>
          <w:sz w:val="24"/>
          <w:szCs w:val="24"/>
          <w:lang w:val="pt-BR" w:eastAsia="zh-CN" w:bidi="hi-IN"/>
        </w:rPr>
        <w:tab/>
        <w:t xml:space="preserve">Ainda, os produtos deverão cumprir todas as exigências legais quanto à sua comercialização e deverão </w:t>
      </w:r>
      <w:r>
        <w:rPr>
          <w:sz w:val="24"/>
          <w:szCs w:val="24"/>
        </w:rPr>
        <w:t>atender as normas da legislação vigente.</w:t>
      </w:r>
    </w:p>
    <w:p w14:paraId="233D591E" w14:textId="1F7F5D47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highlight w:val="yellow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36231A" w14:paraId="5DA5372B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A01B" w14:textId="5BA9261A" w:rsidR="00900C63" w:rsidRDefault="00441EB5" w:rsidP="00441E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D4DE" w14:textId="77777777" w:rsidR="0036231A" w:rsidRDefault="0036231A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  <w:lang w:val="pt-BR"/>
              </w:rPr>
              <w:t xml:space="preserve">QUANTITADE </w:t>
            </w:r>
            <w:r>
              <w:rPr>
                <w:rFonts w:eastAsia="Arial MT"/>
                <w:sz w:val="24"/>
                <w:szCs w:val="24"/>
                <w:lang w:val="pt-BR"/>
              </w:rPr>
              <w:t>ESTIMADA</w:t>
            </w:r>
            <w:r>
              <w:rPr>
                <w:rFonts w:eastAsia="Arial MT"/>
                <w:spacing w:val="-12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 MT"/>
                <w:sz w:val="24"/>
                <w:szCs w:val="24"/>
                <w:lang w:val="pt-BR"/>
              </w:rPr>
              <w:t xml:space="preserve">MINIMA POR ORDEM DE </w:t>
            </w:r>
            <w:r>
              <w:rPr>
                <w:rFonts w:eastAsia="Arial MT"/>
                <w:spacing w:val="-2"/>
                <w:sz w:val="24"/>
                <w:szCs w:val="24"/>
                <w:lang w:val="pt-BR"/>
              </w:rPr>
              <w:t>COMPRA POR SECRETARIA</w:t>
            </w:r>
          </w:p>
        </w:tc>
      </w:tr>
      <w:tr w:rsidR="0036231A" w14:paraId="04A60802" w14:textId="77777777" w:rsidTr="00B35643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24364" w14:textId="69F54F30" w:rsidR="0036231A" w:rsidRDefault="00B35643" w:rsidP="00F4662B">
            <w:pPr>
              <w:spacing w:line="360" w:lineRule="auto"/>
              <w:rPr>
                <w:sz w:val="24"/>
                <w:szCs w:val="24"/>
              </w:rPr>
            </w:pPr>
            <w:r w:rsidRPr="00B35643">
              <w:rPr>
                <w:sz w:val="24"/>
                <w:szCs w:val="24"/>
              </w:rPr>
              <w:t>[VW Gol</w:t>
            </w:r>
            <w:r>
              <w:rPr>
                <w:sz w:val="24"/>
                <w:szCs w:val="24"/>
              </w:rPr>
              <w:t xml:space="preserve"> 2003/4</w:t>
            </w:r>
            <w:r w:rsidRPr="00B35643">
              <w:rPr>
                <w:sz w:val="24"/>
                <w:szCs w:val="24"/>
              </w:rPr>
              <w:t xml:space="preserve"> (Placa IMH9J64)]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013D7" w14:textId="5A9549BE" w:rsidR="0036231A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4CF6" w14:paraId="6B21B22A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BE133" w14:textId="30AFC94A" w:rsidR="00864CF6" w:rsidRDefault="00B35643" w:rsidP="00F4662B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[VW Gol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50A6" w14:textId="2C3AE414" w:rsidR="00864CF6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4CF6" w14:paraId="4727BE15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79B94" w14:textId="796BA5CC" w:rsidR="00864CF6" w:rsidRDefault="00B35643" w:rsidP="00F4662B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[VW Gol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Amortecedores Traseiros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85D81" w14:textId="6A4C95E0" w:rsidR="00864CF6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4CF6" w14:paraId="2E40BF71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5BCA" w14:textId="7025D938" w:rsidR="00864CF6" w:rsidRDefault="00B35643" w:rsidP="00B3564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Caixa de Direção Hidráulica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D26A7" w14:textId="27E08092" w:rsidR="00864CF6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4CF6" w14:paraId="2C230AB0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A3E8" w14:textId="5D61C893" w:rsidR="00864CF6" w:rsidRDefault="00B35643" w:rsidP="00B3564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3CA42" w14:textId="6AB1297E" w:rsidR="00864CF6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4CF6" w14:paraId="6A9120EB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1D52C" w14:textId="01FC32EC" w:rsidR="00864CF6" w:rsidRDefault="00B35643" w:rsidP="00B35643">
            <w:pPr>
              <w:tabs>
                <w:tab w:val="left" w:pos="3345"/>
              </w:tabs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BCF01" w14:textId="2991B96A" w:rsidR="00864CF6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0C63" w14:paraId="5E00EE0F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281CF" w14:textId="1386BC28" w:rsidR="00900C63" w:rsidRDefault="00B35643" w:rsidP="00B3564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Coifa do Câmbio (Lado Esquerdo)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A9FCA" w14:textId="5682EDE6" w:rsidR="00900C63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0C63" w14:paraId="752A8AFD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2AEC1" w14:textId="4BDB48C1" w:rsidR="00900C63" w:rsidRDefault="00B35643" w:rsidP="00B3564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Cilindros de Freio (Roda Traseira)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DA8A" w14:textId="77ED7AF3" w:rsidR="00900C63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0C63" w14:paraId="4015A256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99C2" w14:textId="2D3A0477" w:rsidR="00900C63" w:rsidRDefault="00B35643" w:rsidP="00B3564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Junta Homocinética (Lado Direito)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8655E" w14:textId="6C92B9C8" w:rsidR="00900C63" w:rsidRDefault="00B35643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08DF397" w14:textId="218E64B8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5. DA EXIGÊNCIA DE AMOSTRAS </w:t>
      </w:r>
    </w:p>
    <w:p w14:paraId="10C6D0E8" w14:textId="77777777" w:rsidR="0036231A" w:rsidRDefault="0036231A" w:rsidP="0036231A">
      <w:pPr>
        <w:pStyle w:val="LO-normal"/>
        <w:spacing w:after="20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5.1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3649213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6. DA EXIGÊNCIA DE CARTA DE SOLIDARIEDADE</w:t>
      </w:r>
    </w:p>
    <w:p w14:paraId="2E8CC32E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6.1 Não será exigida carta de solidariedade para essa aquisição.</w:t>
      </w:r>
    </w:p>
    <w:p w14:paraId="69288104" w14:textId="77777777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7. DOS CRITÉRIOS DE SUSTENTABILIDADE</w:t>
      </w:r>
    </w:p>
    <w:p w14:paraId="51EA7754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lastRenderedPageBreak/>
        <w:t xml:space="preserve">7.1. </w:t>
      </w:r>
      <w:r>
        <w:rPr>
          <w:sz w:val="24"/>
          <w:szCs w:val="24"/>
          <w:lang w:val="pt-BR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2AF0BB8A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05777CB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8. DA GARANTIA CONTRATUAL</w:t>
      </w:r>
    </w:p>
    <w:p w14:paraId="669B9EB4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8.1 Não haverá exigência de garantia contratual.</w:t>
      </w:r>
    </w:p>
    <w:p w14:paraId="7B24583F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9. DA EXIGÊNCIA DE DOCUMENTAÇÃO TÉCNICA</w:t>
      </w:r>
    </w:p>
    <w:p w14:paraId="3C5A6891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9.1 Não será exigida documentação técnica para habilitação;</w:t>
      </w:r>
    </w:p>
    <w:p w14:paraId="736A49EE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10. DA SUBCONTRATAÇÃO</w:t>
      </w:r>
    </w:p>
    <w:p w14:paraId="4FA325B2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10.1 Não é admitida a subcontratação do objeto contratual.</w:t>
      </w:r>
    </w:p>
    <w:p w14:paraId="40EA0FC8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11. DO(S) ORGÃO(S) PARTICIPANTE(S) </w:t>
      </w:r>
    </w:p>
    <w:p w14:paraId="6E6C37A2" w14:textId="77777777" w:rsidR="0036231A" w:rsidRDefault="0036231A" w:rsidP="0036231A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11.1.  Haverá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489F22B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12. DA GARANTIA DO OBJETO </w:t>
      </w:r>
    </w:p>
    <w:p w14:paraId="1C045AE5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12.1. O prazo de garantia é aquele estabelecido na Lei nº 8.078, de 11 de setembro de 1990 (Código de Defesa do Consumidor). </w:t>
      </w:r>
    </w:p>
    <w:p w14:paraId="6E1FB970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12.2. Caso a empresa vencedora possua garantia maior, deverá prevalecer a maior.</w:t>
      </w:r>
    </w:p>
    <w:p w14:paraId="5219EB02" w14:textId="77777777" w:rsidR="0036231A" w:rsidRDefault="0036231A" w:rsidP="0036231A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13. DA FISCALIZAÇÃO</w:t>
      </w:r>
    </w:p>
    <w:p w14:paraId="4759862A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13.</w:t>
      </w:r>
      <w:r w:rsidRPr="005B44CB">
        <w:rPr>
          <w:sz w:val="24"/>
          <w:szCs w:val="24"/>
          <w:lang w:val="pt-BR"/>
        </w:rPr>
        <w:t xml:space="preserve">1 A execução dos serviços ou entrega do objeto será acompanhada e fiscalizada pelo servidor Heider Santos Coelho no ato do pedido de compra vinculado a menor proposta. </w:t>
      </w:r>
    </w:p>
    <w:p w14:paraId="507CDC50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14. LEVANTAMENTO DE MERCADO </w:t>
      </w:r>
    </w:p>
    <w:p w14:paraId="611CC7D8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14.1 O levantamento de mercado foi realizado conforme Decreto, que dispõe sobre o procedimento administrativo para a realização de pesquisa de preços para aquisição de bens e contratação de serviços em geral e encontra-se descrito no Anexo Dados do Objeto. </w:t>
      </w:r>
    </w:p>
    <w:p w14:paraId="282BA10E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14.2. O ciclo de vida desta solução, baseia-se no consumo planejado dos itens para atender as necessidades da secretaria.</w:t>
      </w:r>
    </w:p>
    <w:p w14:paraId="2CCE6C08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lastRenderedPageBreak/>
        <w:t xml:space="preserve">15. DESCRIÇÃO DA SOLUÇÃO COMO UM TODO </w:t>
      </w:r>
    </w:p>
    <w:p w14:paraId="06132F80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4DEF45F9" w14:textId="2BD1672D" w:rsidR="00203F31" w:rsidRPr="00E303DC" w:rsidRDefault="0036231A" w:rsidP="0036231A">
      <w:pPr>
        <w:pStyle w:val="LO-normal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15.1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solução estudada trata-se </w:t>
      </w:r>
      <w:r w:rsidR="00DF2903" w:rsidRPr="004C5727">
        <w:rPr>
          <w:rFonts w:ascii="Times New Roman" w:hAnsi="Times New Roman" w:cs="Times New Roman"/>
          <w:color w:val="auto"/>
          <w:sz w:val="24"/>
          <w:szCs w:val="24"/>
          <w:lang w:val="pt-BR"/>
        </w:rPr>
        <w:t>a</w:t>
      </w:r>
      <w:r w:rsidR="00DF2903" w:rsidRPr="008F343D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quisições </w:t>
      </w:r>
      <w:r w:rsidRPr="008F343D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de peças para </w:t>
      </w:r>
      <w:r w:rsidR="00667A55" w:rsidRPr="008F343D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o</w:t>
      </w:r>
      <w:r w:rsidR="00D579C3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s</w:t>
      </w:r>
      <w:r w:rsidR="00667A55" w:rsidRPr="008F343D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 veículo</w:t>
      </w:r>
      <w:r w:rsidR="00D579C3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s</w:t>
      </w:r>
      <w:r w:rsidR="00667A55" w:rsidRPr="008F343D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 automotor</w:t>
      </w:r>
      <w:r w:rsidR="00D579C3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es VW Gol (placa IMH9J64) e Renault Sandero (placa IPG2074</w:t>
      </w:r>
      <w:r w:rsidR="00667A55" w:rsidRPr="008F343D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 sendo:</w:t>
      </w:r>
      <w:r w:rsidRPr="008F343D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441EB5" w:rsidRPr="008F343D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 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D579C3" w14:paraId="63D1B0C0" w14:textId="77777777" w:rsidTr="00D579C3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C2F9B" w14:textId="37AA17E4" w:rsidR="00D579C3" w:rsidRDefault="00D579C3" w:rsidP="00D579C3">
            <w:pPr>
              <w:spacing w:line="360" w:lineRule="auto"/>
              <w:rPr>
                <w:sz w:val="24"/>
                <w:szCs w:val="24"/>
              </w:rPr>
            </w:pPr>
            <w:r w:rsidRPr="00B35643">
              <w:rPr>
                <w:sz w:val="24"/>
                <w:szCs w:val="24"/>
              </w:rPr>
              <w:t>[VW Gol</w:t>
            </w:r>
            <w:r>
              <w:rPr>
                <w:sz w:val="24"/>
                <w:szCs w:val="24"/>
              </w:rPr>
              <w:t xml:space="preserve"> 2003/4</w:t>
            </w:r>
            <w:r w:rsidRPr="00B35643">
              <w:rPr>
                <w:sz w:val="24"/>
                <w:szCs w:val="24"/>
              </w:rPr>
              <w:t xml:space="preserve"> (Placa IMH9J64)]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B3875" w14:textId="13635CE6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333A8571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6A431" w14:textId="65EF9993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[VW Gol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5E1F7" w14:textId="33E39B2F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3B59F746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E092E" w14:textId="3DC51A70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[VW Gol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Amortecedores Traseiros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30E58" w14:textId="4D9415A6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5B2114F2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FFFD7" w14:textId="450F6EC6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Caixa de Direção Hidráulica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6928E" w14:textId="7C198A3A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9C3" w14:paraId="11293FE7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6D12" w14:textId="7AD8CD46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Amortecedores Dianteiros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E0742" w14:textId="6A480085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34A8A7B4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53AFC" w14:textId="6748E586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Kits de Coxins e Batentes (Dianteiros)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4CCFB" w14:textId="729A4581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02D3AC93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67B3C" w14:textId="2369616C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Coifa do Câmbio (Lado Esquerdo)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27447" w14:textId="1CCB33F1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9C3" w14:paraId="6CA1C85E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042A5" w14:textId="3A9477DF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Cilindros de Freio (Roda Traseira)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731B" w14:textId="6CC77F40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79C3" w14:paraId="0B9E7FA1" w14:textId="77777777" w:rsidTr="00203F31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BE34" w14:textId="3C69A0E7" w:rsidR="00D579C3" w:rsidRDefault="00D579C3" w:rsidP="00D579C3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Junta Homocinética (Lado Direito)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D94B3" w14:textId="3B4E9210" w:rsidR="00D579C3" w:rsidRDefault="00D579C3" w:rsidP="00D579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E7D48B0" w14:textId="742A29B5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175A4B00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15.3. Nesta sendo, justificasse a solução pretendida a ser adquirida através do Sistema de dispensa de licitação considerando os parâmetros de conveniência, economicidade e eficiência uma vez que dessa forma é possível a administração adquirir os materiais, respeitando-se os limites orçamentários.</w:t>
      </w:r>
      <w:bookmarkStart w:id="2" w:name="_jomeonoalzjw"/>
      <w:bookmarkEnd w:id="2"/>
    </w:p>
    <w:p w14:paraId="7DFC0847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16. ESTIMATIVA DAS QUANTIDADES A SEREM CONTRATADAS </w:t>
      </w:r>
    </w:p>
    <w:p w14:paraId="48D67E5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>16.1 As quantidades foram estimadas considerando as necessidades imediatas que resultaram no quantitativo solicitado; conforme termo de referência.</w:t>
      </w:r>
    </w:p>
    <w:p w14:paraId="67BA5EEB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17. ESTIMATIVA DO VALOR DA CONTRATAÇÃO </w:t>
      </w:r>
    </w:p>
    <w:p w14:paraId="73D852DB" w14:textId="77777777" w:rsidR="0036231A" w:rsidRDefault="0036231A" w:rsidP="0036231A">
      <w:pPr>
        <w:pStyle w:val="LO-normal"/>
        <w:spacing w:after="24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17.1.</w:t>
      </w:r>
      <w:r>
        <w:rPr>
          <w:rFonts w:ascii="Times New Roman" w:eastAsia="Arial MT" w:hAnsi="Times New Roman" w:cs="Times New Roman"/>
          <w:color w:val="auto"/>
          <w:sz w:val="24"/>
          <w:szCs w:val="24"/>
          <w:lang w:val="pt-BR" w:eastAsia="en-US" w:bidi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A estimativa do valor da contratação e o método de composição dos valores está mensurada no 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Anexo Dados do Objeto.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 pesquisa de preços está anexada aos autos processuais, que são procedimentos obrigatórios e prévios à realização de processos de contratação pública.</w:t>
      </w:r>
    </w:p>
    <w:p w14:paraId="4CEF9491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18. JUSTIFICATIVA PARA O PARCELAMENTO OU NÃO DA SOLUÇÃO </w:t>
      </w:r>
    </w:p>
    <w:p w14:paraId="1E236601" w14:textId="77777777" w:rsidR="0036231A" w:rsidRDefault="0036231A" w:rsidP="0036231A">
      <w:pPr>
        <w:pStyle w:val="LO-normal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18.1.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4F0CFA59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19. CONTRATAÇÕES CORRELATAS E/OU INTERDEPENDENTES </w:t>
      </w:r>
    </w:p>
    <w:p w14:paraId="3FECF4D6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4F641CE2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20. ALINHAMENTO ENTRE A CONTRATAÇÃO E O PLANEJAMENTO </w:t>
      </w:r>
    </w:p>
    <w:p w14:paraId="4EB4E25E" w14:textId="636F1401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20.1 Não houve previsão no Plano Anual de Contratações, pois a </w:t>
      </w:r>
      <w:r w:rsidR="00D579C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Prefeitura não esperava que tais avarias fossem surgir no momento, tratando-se de um imprevisto.</w:t>
      </w:r>
    </w:p>
    <w:p w14:paraId="0C5D1468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3" w:name="_h05z7xu5erya"/>
      <w:bookmarkEnd w:id="3"/>
      <w:r>
        <w:rPr>
          <w:rFonts w:eastAsia="Arial"/>
          <w:sz w:val="24"/>
          <w:szCs w:val="24"/>
          <w:lang w:val="pt-BR"/>
        </w:rPr>
        <w:t xml:space="preserve">21. BENEFÍCIOS A SEREM ALCANÇADOS COM A CONTRATAÇÃO </w:t>
      </w:r>
    </w:p>
    <w:p w14:paraId="69E48E9A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003FAC53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BR"/>
        </w:rPr>
        <w:t>22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. PROVIDÊNCIAS A SEREM ADOTADAS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</w:p>
    <w:p w14:paraId="25C2A1BA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22.1 No específico desta contratação, não há necessidade de adequações do órgão requisitante para a contratação do objeto deste estudo.</w:t>
      </w:r>
    </w:p>
    <w:p w14:paraId="36C3318B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4" w:name="_6336pk17pil1"/>
      <w:bookmarkEnd w:id="4"/>
      <w:r>
        <w:rPr>
          <w:rFonts w:eastAsia="Arial"/>
          <w:sz w:val="24"/>
          <w:szCs w:val="24"/>
          <w:lang w:val="pt-BR"/>
        </w:rPr>
        <w:t xml:space="preserve">23. POSSÍVEIS IMPACTOS AMBIENTAIS </w:t>
      </w:r>
    </w:p>
    <w:p w14:paraId="7950629B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BE3CE98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24. DECLARAÇÃO DE VIABILIDADE </w:t>
      </w:r>
    </w:p>
    <w:p w14:paraId="0D79617B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>24.1. Justificativa da Viabilidade: Tendo em vista a existência de fornecedores dos materiais relacionados, com base na Pesquisa de Preços, declaro que a contratação pretendida é viável e necessária, nos termos deste Estudo Técnico Preliminar.</w:t>
      </w:r>
    </w:p>
    <w:p w14:paraId="049D715F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24.2.  DA ANÁLISE DE RISCOS: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36231A" w14:paraId="5BD340AC" w14:textId="77777777" w:rsidTr="00F4662B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2FA24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1E130C80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 Risco Baixo     (      ) Risco Médio    (     )Risco Alto</w:t>
            </w:r>
          </w:p>
        </w:tc>
      </w:tr>
      <w:tr w:rsidR="0036231A" w14:paraId="7F9F1B16" w14:textId="77777777" w:rsidTr="00F4662B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4ECD6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EAC3B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208C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7C716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D562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08A088A0" w14:textId="77777777" w:rsidTr="00F4662B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240A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64FA7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A801A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13565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3644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</w:tbl>
    <w:p w14:paraId="11A62544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36231A" w14:paraId="4D8E6BBE" w14:textId="77777777" w:rsidTr="00F4662B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059F7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78B83321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   ) Risco Baixo     (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Médio    (     )Risco Alto</w:t>
            </w:r>
          </w:p>
        </w:tc>
      </w:tr>
      <w:tr w:rsidR="0036231A" w14:paraId="49195D85" w14:textId="77777777" w:rsidTr="00F4662B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25B9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C11E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DA1A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71C25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F854A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2801E897" w14:textId="77777777" w:rsidTr="00F4662B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597E6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13190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1E17477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Necessidade de refazer o processo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83A0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Edital com condições de habilitação eficientes.</w:t>
            </w:r>
          </w:p>
          <w:p w14:paraId="26F29F9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03CB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522EC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3399A2A8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Constante</w:t>
            </w:r>
          </w:p>
        </w:tc>
      </w:tr>
    </w:tbl>
    <w:p w14:paraId="6C44AF5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36231A" w14:paraId="296D44C4" w14:textId="77777777" w:rsidTr="00F4662B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859B4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35661CD7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 ) Risco Baixo     (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X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 Risco Médio    (     )Risco Alto</w:t>
            </w:r>
          </w:p>
        </w:tc>
      </w:tr>
      <w:tr w:rsidR="0036231A" w14:paraId="40ED02EF" w14:textId="77777777" w:rsidTr="00F4662B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3D2D1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B7DEF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B03C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CDD9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CE8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3C4751BC" w14:textId="77777777" w:rsidTr="00F4662B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6842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A9939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4F31B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412F0CA7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54533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89E5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0B830444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17177982" w14:textId="77777777" w:rsidR="0036231A" w:rsidRDefault="0036231A" w:rsidP="0036231A">
      <w:pPr>
        <w:pStyle w:val="Ttulo1"/>
        <w:spacing w:before="200" w:line="360" w:lineRule="auto"/>
        <w:ind w:left="0"/>
        <w:jc w:val="both"/>
        <w:rPr>
          <w:rFonts w:eastAsia="Arial"/>
          <w:sz w:val="24"/>
          <w:szCs w:val="24"/>
          <w:lang w:val="pt-BR"/>
        </w:rPr>
      </w:pPr>
      <w:bookmarkStart w:id="5" w:name="_cfrlhzwf426x"/>
      <w:bookmarkEnd w:id="5"/>
      <w:r>
        <w:rPr>
          <w:rFonts w:eastAsia="Arial"/>
          <w:sz w:val="24"/>
          <w:szCs w:val="24"/>
          <w:lang w:val="pt-BR"/>
        </w:rPr>
        <w:t>25. RESPONSÁVEIS</w:t>
      </w:r>
    </w:p>
    <w:p w14:paraId="7A9D2C64" w14:textId="4FB9AF7E" w:rsidR="0036231A" w:rsidRDefault="0036231A" w:rsidP="0036231A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 pelo Estudo Técnico Preliminar Heider Santos Coelho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br/>
        <w:t xml:space="preserve">Amaral Ferrador/RS, </w:t>
      </w:r>
      <w:r w:rsidR="00D579C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21 de janeiro de 2026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7ABCF30F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3DC574AB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5B19A574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01ED2B1C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029B8E18" w14:textId="77777777" w:rsidR="0036231A" w:rsidRDefault="0036231A" w:rsidP="003623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HEIDER SANTOS COELHO</w:t>
      </w:r>
    </w:p>
    <w:p w14:paraId="24A6D5B0" w14:textId="77777777" w:rsidR="0036231A" w:rsidRDefault="0036231A" w:rsidP="003623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Secretario de Infraestrutura e Agropecuaria</w:t>
      </w:r>
    </w:p>
    <w:p w14:paraId="5636150C" w14:textId="77777777" w:rsidR="0036231A" w:rsidRDefault="0036231A" w:rsidP="00D579C3">
      <w:pPr>
        <w:rPr>
          <w:b/>
          <w:bCs/>
          <w:snapToGrid w:val="0"/>
          <w:color w:val="000000"/>
          <w:sz w:val="28"/>
          <w:szCs w:val="28"/>
        </w:rPr>
      </w:pPr>
    </w:p>
    <w:sectPr w:rsidR="0036231A" w:rsidSect="00ED1BA2">
      <w:headerReference w:type="default" r:id="rId8"/>
      <w:pgSz w:w="11906" w:h="16838"/>
      <w:pgMar w:top="2517" w:right="851" w:bottom="851" w:left="1276" w:header="936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5D23" w14:textId="77777777" w:rsidR="000C35D8" w:rsidRDefault="000C35D8">
      <w:r>
        <w:separator/>
      </w:r>
    </w:p>
  </w:endnote>
  <w:endnote w:type="continuationSeparator" w:id="0">
    <w:p w14:paraId="3990114A" w14:textId="77777777" w:rsidR="000C35D8" w:rsidRDefault="000C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1AB2" w14:textId="77777777" w:rsidR="000C35D8" w:rsidRDefault="000C35D8">
      <w:r>
        <w:separator/>
      </w:r>
    </w:p>
  </w:footnote>
  <w:footnote w:type="continuationSeparator" w:id="0">
    <w:p w14:paraId="60935CBA" w14:textId="77777777" w:rsidR="000C35D8" w:rsidRDefault="000C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5774A9" w:rsidRDefault="005774A9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5774A9" w:rsidRDefault="005774A9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5774A9" w:rsidRPr="00647AE0" w:rsidRDefault="005774A9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5774A9" w:rsidRDefault="005774A9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AEABA5D" w14:textId="77777777" w:rsidR="005774A9" w:rsidRDefault="005774A9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5774A9" w:rsidRPr="00647AE0" w:rsidRDefault="005774A9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5774A9" w:rsidRDefault="005774A9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2B6"/>
    <w:multiLevelType w:val="multilevel"/>
    <w:tmpl w:val="6250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E7425"/>
    <w:multiLevelType w:val="multilevel"/>
    <w:tmpl w:val="1EA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57A6"/>
    <w:multiLevelType w:val="multilevel"/>
    <w:tmpl w:val="664CEAA8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 w16cid:durableId="1924488273">
    <w:abstractNumId w:val="1"/>
  </w:num>
  <w:num w:numId="2" w16cid:durableId="1492795405">
    <w:abstractNumId w:val="0"/>
  </w:num>
  <w:num w:numId="3" w16cid:durableId="111779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72E3"/>
    <w:rsid w:val="00020B31"/>
    <w:rsid w:val="000623E5"/>
    <w:rsid w:val="00065781"/>
    <w:rsid w:val="000C35D8"/>
    <w:rsid w:val="0010653B"/>
    <w:rsid w:val="00172748"/>
    <w:rsid w:val="001A18F5"/>
    <w:rsid w:val="001A3E76"/>
    <w:rsid w:val="00203F31"/>
    <w:rsid w:val="0026779D"/>
    <w:rsid w:val="00284D33"/>
    <w:rsid w:val="00285DF9"/>
    <w:rsid w:val="002D2339"/>
    <w:rsid w:val="003223BF"/>
    <w:rsid w:val="00323A00"/>
    <w:rsid w:val="00332F8B"/>
    <w:rsid w:val="0036231A"/>
    <w:rsid w:val="00370045"/>
    <w:rsid w:val="003750C7"/>
    <w:rsid w:val="003B603B"/>
    <w:rsid w:val="003C28E4"/>
    <w:rsid w:val="003F514F"/>
    <w:rsid w:val="00420F59"/>
    <w:rsid w:val="00441EB5"/>
    <w:rsid w:val="00442F0A"/>
    <w:rsid w:val="00484555"/>
    <w:rsid w:val="004918B8"/>
    <w:rsid w:val="0049534F"/>
    <w:rsid w:val="004C5727"/>
    <w:rsid w:val="004C7715"/>
    <w:rsid w:val="004D6948"/>
    <w:rsid w:val="004E091A"/>
    <w:rsid w:val="004F1D76"/>
    <w:rsid w:val="004F7F17"/>
    <w:rsid w:val="005774A9"/>
    <w:rsid w:val="006163D5"/>
    <w:rsid w:val="00624AF2"/>
    <w:rsid w:val="00627AA1"/>
    <w:rsid w:val="00667A55"/>
    <w:rsid w:val="006954CA"/>
    <w:rsid w:val="006B0612"/>
    <w:rsid w:val="006E18F0"/>
    <w:rsid w:val="006E55DA"/>
    <w:rsid w:val="006F7E4E"/>
    <w:rsid w:val="0077762A"/>
    <w:rsid w:val="0078652F"/>
    <w:rsid w:val="0079451F"/>
    <w:rsid w:val="00810C55"/>
    <w:rsid w:val="008433FA"/>
    <w:rsid w:val="00864CF6"/>
    <w:rsid w:val="008862EE"/>
    <w:rsid w:val="00886FBA"/>
    <w:rsid w:val="00891260"/>
    <w:rsid w:val="008D729D"/>
    <w:rsid w:val="008E12B4"/>
    <w:rsid w:val="008F343D"/>
    <w:rsid w:val="00900C63"/>
    <w:rsid w:val="00915E01"/>
    <w:rsid w:val="0096034F"/>
    <w:rsid w:val="009855F0"/>
    <w:rsid w:val="009B7E81"/>
    <w:rsid w:val="009C7455"/>
    <w:rsid w:val="009F5DC8"/>
    <w:rsid w:val="00A21051"/>
    <w:rsid w:val="00A24723"/>
    <w:rsid w:val="00A470A1"/>
    <w:rsid w:val="00A6274C"/>
    <w:rsid w:val="00A96A3B"/>
    <w:rsid w:val="00AC704B"/>
    <w:rsid w:val="00AE0297"/>
    <w:rsid w:val="00B35643"/>
    <w:rsid w:val="00B70A7B"/>
    <w:rsid w:val="00C0041E"/>
    <w:rsid w:val="00C133C9"/>
    <w:rsid w:val="00C135F1"/>
    <w:rsid w:val="00C41F8E"/>
    <w:rsid w:val="00C52B76"/>
    <w:rsid w:val="00C618F9"/>
    <w:rsid w:val="00C8395A"/>
    <w:rsid w:val="00C90CD7"/>
    <w:rsid w:val="00C969C9"/>
    <w:rsid w:val="00CD201B"/>
    <w:rsid w:val="00CD64D9"/>
    <w:rsid w:val="00CD6599"/>
    <w:rsid w:val="00D058F2"/>
    <w:rsid w:val="00D06A76"/>
    <w:rsid w:val="00D579C3"/>
    <w:rsid w:val="00D84348"/>
    <w:rsid w:val="00DD01E9"/>
    <w:rsid w:val="00DD158C"/>
    <w:rsid w:val="00DF2903"/>
    <w:rsid w:val="00E303DC"/>
    <w:rsid w:val="00E85BD8"/>
    <w:rsid w:val="00EA2582"/>
    <w:rsid w:val="00EC2159"/>
    <w:rsid w:val="00ED1BA2"/>
    <w:rsid w:val="00F04E4D"/>
    <w:rsid w:val="00F4662B"/>
    <w:rsid w:val="00FA571C"/>
    <w:rsid w:val="00FB3EAD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5774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86F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6FEB-7BCD-4F59-8786-6A6F9846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8</Pages>
  <Words>1944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49</cp:revision>
  <cp:lastPrinted>2025-10-14T11:47:00Z</cp:lastPrinted>
  <dcterms:created xsi:type="dcterms:W3CDTF">2025-04-10T19:32:00Z</dcterms:created>
  <dcterms:modified xsi:type="dcterms:W3CDTF">2026-01-22T13:47:00Z</dcterms:modified>
</cp:coreProperties>
</file>